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BF" w:rsidRDefault="00117EBF" w:rsidP="00117EBF">
      <w:pPr>
        <w:spacing w:line="200" w:lineRule="exact"/>
        <w:rPr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7041A7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3900" cy="5305425"/>
            <wp:effectExtent l="0" t="876300" r="0" b="866775"/>
            <wp:docPr id="1" name="Рисунок 1" descr="E:\эл.тит.листы\20230925_12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.тит.листы\20230925_125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39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EBF" w:rsidRDefault="00117EB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Пояснительная записка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      Данная программа разработана  на основе  требований  Федерального государственного образовательного стандарта основного общего образования  второго поколения  и  предназначена  для  реализации  внеурочной  деятельности   обучающихся   в  9 классах.    Данная программа составлена  на основе кодификатора и спецификатора  к экзамену по обществознанию.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       Программа также может быть использована для расширения и углубления программ </w:t>
      </w: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>обучения по обществознанию</w:t>
      </w:r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и построения индивидуальных образовательных направлений  учащихся, проявляющих интерес к науке. Курс построен 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что позволит расширить и углубить знания учащихся по всем основным разделам школьного курса  основной школы, а также ликвидировать возможные пробелы.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Программа имеет  общекультурную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 направленность и представляет собой вариант   программы организации внеурочной деятельности средних школьников.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Программа  внеурочной деятельности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> «Подготовка к ОГЭ по обществознанию»   разработана  на основе Федерального государственного образовательного стандарта основного общего образования     и «Примерных программ внеурочной деятельности. Начальное и основное образование».  (Стандарты второго поколения) под редакцией В.А.Г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 xml:space="preserve">орского. – </w:t>
      </w:r>
      <w:proofErr w:type="gramStart"/>
      <w:r w:rsidR="00A030C5">
        <w:rPr>
          <w:rFonts w:ascii="Times New Roman" w:eastAsia="Times New Roman" w:hAnsi="Times New Roman" w:cs="Times New Roman"/>
          <w:sz w:val="24"/>
          <w:szCs w:val="24"/>
        </w:rPr>
        <w:t>М.: Просвещение, 2016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>.,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</w:t>
      </w:r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</w:r>
      <w:proofErr w:type="spellStart"/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2-е, дора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>ботанное.- М.: Просвещение, 2016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>»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образовательного пространства, воспитывающей среды школы;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- подготовка к итоговой аттестации;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- развитие эмоциональной сферы, воспитание нравственных качеств, развитие артистических способностей, творческого воображения и фантазии;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формирование  региональной и гражданской идентичности.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Познавательный аспект:  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выявить соответствие подготовки выпускников требованиям образовательных стандартов; 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закрепить, систематизировать и расширить знания учащихся по всем основным курсам географии основной школы;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формировать навыки аналитической деятельности, прогнозирования  результатов для различных вариативных ситуаций;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 интерес</w:t>
      </w:r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интеллектуальные способности в процессе поиска решений;</w:t>
      </w:r>
    </w:p>
    <w:p w:rsidR="00B444CF" w:rsidRPr="00B444CF" w:rsidRDefault="00B444CF" w:rsidP="00B44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формировать индивидуальные образовательные потребности в выборе дальнейшего  профиля обучения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Развивающий аспект:  </w:t>
      </w:r>
    </w:p>
    <w:p w:rsidR="00B444CF" w:rsidRPr="00B444CF" w:rsidRDefault="00B444CF" w:rsidP="00B44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способность к осознанию российской идентичности в поликультурном социуме;</w:t>
      </w:r>
    </w:p>
    <w:p w:rsidR="00B444CF" w:rsidRPr="00B444CF" w:rsidRDefault="00B444CF" w:rsidP="00B44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444CF" w:rsidRPr="00B444CF" w:rsidRDefault="00B444CF" w:rsidP="00B44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444CF" w:rsidRPr="00B444CF" w:rsidRDefault="00B444CF" w:rsidP="00B44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Воспитательный аспект:   </w:t>
      </w:r>
    </w:p>
    <w:p w:rsidR="00B444CF" w:rsidRPr="00B444CF" w:rsidRDefault="00B444CF" w:rsidP="00B44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444CF" w:rsidRPr="00B444CF" w:rsidRDefault="00B444CF" w:rsidP="00B44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 </w:t>
      </w:r>
    </w:p>
    <w:p w:rsidR="00B444CF" w:rsidRPr="00B444CF" w:rsidRDefault="00B444CF" w:rsidP="00B44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давать  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B444CF" w:rsidRPr="00B444CF" w:rsidRDefault="00B444CF" w:rsidP="00B44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давать определение собственного отношения к явлениям современной жизни, формулирование своей точки зрения.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Срок реал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>изации    программы –1 год   (34 часа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,1 час в неделю).  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      Знакомство  с теоретическим материалом,  анализ письменных источников по теме позволяют  формировать основы для научного исследования,  активизировать познавательную деятельность  обучающихся.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деятельности: фронтальная, групповая, индивидуальная.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 Формы проведения занятий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>. Внеурочная деятельность по обществознанию  основана на трёх формах: индивидуальная, групповая и фронтальная работа.   Во время занятий осуществляется индивидуальный и дифференцированный подход к детям.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когнитивной и коммуникативной компетенций через организацию познавательной деятельности в группах  и индивидуально;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- осознание своей идентичности как гражданина демократического государства;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- толерантное отношение к истории других стран;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познавательная, творческая, общественная активность;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умение работать в сотрудничестве с другими, отвечать за свои решения;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личная и взаимная ответственность;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готовность действия в нестандартных ситуациях.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владение умениями работать с учебной и внешкольной информацией;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творческих формах;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- готовность к сотрудничеству с соучениками, коллективной работе.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Проверка результатов проходит в форме:  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A030C5">
        <w:rPr>
          <w:rFonts w:ascii="Times New Roman" w:eastAsia="Times New Roman" w:hAnsi="Times New Roman" w:cs="Times New Roman"/>
          <w:sz w:val="24"/>
          <w:szCs w:val="24"/>
        </w:rPr>
        <w:t>тестирования.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Способами определения результативности программы являются: диагностика, проводимая в конце реализации программы в виде </w:t>
      </w: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тренировочно</w:t>
      </w:r>
      <w:proofErr w:type="spellEnd"/>
      <w:r w:rsidRPr="00B444CF">
        <w:rPr>
          <w:rFonts w:ascii="Times New Roman" w:eastAsia="Times New Roman" w:hAnsi="Times New Roman" w:cs="Times New Roman"/>
          <w:sz w:val="24"/>
          <w:szCs w:val="24"/>
        </w:rPr>
        <w:t>-диагностического тестирования.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C5">
        <w:rPr>
          <w:rFonts w:ascii="Times New Roman" w:eastAsia="Times New Roman" w:hAnsi="Times New Roman" w:cs="Times New Roman"/>
          <w:b/>
          <w:sz w:val="24"/>
          <w:szCs w:val="24"/>
        </w:rPr>
        <w:t>Основные  содержательные  линии курса.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           Изучение курса играет  важную роль  с точки зрения   личностного развития учащихся и получения ими дополнительного образования. Учащиеся смогут повторить  теоретические  вопросы основных тем  курса обществознания, </w:t>
      </w: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прорешать</w:t>
      </w:r>
      <w:proofErr w:type="spell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 тренировочные задания по темам. 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B444CF">
        <w:rPr>
          <w:rFonts w:ascii="Times New Roman" w:eastAsia="Times New Roman" w:hAnsi="Times New Roman" w:cs="Times New Roman"/>
          <w:sz w:val="24"/>
          <w:szCs w:val="24"/>
        </w:rPr>
        <w:br/>
        <w:t>   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Реализация  основных содержательных линий будет осуществляться на теоретических и практических занятиях.  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1. Человек и общество.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окружение</w:t>
      </w:r>
      <w:proofErr w:type="gramStart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444CF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Общение. Межличностные конфликты, их конструктивное разрешение.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2. Сфера духовной культуры.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3. Экономика.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4. Социальная сфера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    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 Межнациональные отношения.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5. Сфера политики и социального управления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    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Тема 6. Право.</w:t>
      </w:r>
    </w:p>
    <w:p w:rsid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    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B444CF" w:rsidRPr="009F6FEB" w:rsidRDefault="00B444CF" w:rsidP="00B444CF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E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9356" w:type="dxa"/>
        <w:tblInd w:w="250" w:type="dxa"/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1276"/>
      </w:tblGrid>
      <w:tr w:rsidR="00B444CF" w:rsidTr="004B62CF">
        <w:tc>
          <w:tcPr>
            <w:tcW w:w="70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ind w:firstLine="851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firstLine="851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Система диагностики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Кол-во часов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Введение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Входная диагностика (тест)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2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Тема 1. Человек и общество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6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Тема 2. Социальная сфера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8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Тема 3. Экономическая сфера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7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Тема 4. Политика и право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7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Тема 5. Духовная жизнь общества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2</w:t>
            </w:r>
          </w:p>
        </w:tc>
      </w:tr>
      <w:tr w:rsidR="00B444CF" w:rsidTr="004B62CF">
        <w:tc>
          <w:tcPr>
            <w:tcW w:w="709" w:type="dxa"/>
          </w:tcPr>
          <w:p w:rsidR="00B444CF" w:rsidRPr="00BF16EE" w:rsidRDefault="00B444CF" w:rsidP="00B444C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44CF" w:rsidRPr="00BF16EE" w:rsidRDefault="00B444CF" w:rsidP="004B62CF">
            <w:pPr>
              <w:pStyle w:val="a4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Контроль, обобщение и повторение</w:t>
            </w:r>
          </w:p>
        </w:tc>
        <w:tc>
          <w:tcPr>
            <w:tcW w:w="3402" w:type="dxa"/>
          </w:tcPr>
          <w:p w:rsidR="00B444CF" w:rsidRPr="00BF16EE" w:rsidRDefault="00B444CF" w:rsidP="004B62CF">
            <w:pPr>
              <w:pStyle w:val="a4"/>
              <w:ind w:hanging="108"/>
              <w:jc w:val="both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Тестирование в форме ОГЭ</w:t>
            </w:r>
          </w:p>
        </w:tc>
        <w:tc>
          <w:tcPr>
            <w:tcW w:w="1276" w:type="dxa"/>
          </w:tcPr>
          <w:p w:rsidR="00B444CF" w:rsidRPr="00BF16EE" w:rsidRDefault="00B444CF" w:rsidP="004B62CF">
            <w:pPr>
              <w:pStyle w:val="a4"/>
              <w:jc w:val="center"/>
              <w:rPr>
                <w:sz w:val="28"/>
                <w:szCs w:val="28"/>
              </w:rPr>
            </w:pPr>
            <w:r w:rsidRPr="00BF16EE">
              <w:rPr>
                <w:sz w:val="28"/>
                <w:szCs w:val="28"/>
              </w:rPr>
              <w:t>2</w:t>
            </w:r>
          </w:p>
        </w:tc>
      </w:tr>
    </w:tbl>
    <w:p w:rsidR="00B444CF" w:rsidRDefault="00B444CF" w:rsidP="00B444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4CF" w:rsidRDefault="00B444CF" w:rsidP="00B444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4CF" w:rsidRDefault="00B444CF" w:rsidP="00B444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4CF" w:rsidRDefault="00B444CF" w:rsidP="00B444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4CF" w:rsidRPr="00B444CF" w:rsidRDefault="00B444CF" w:rsidP="00B444CF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44C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</w:tblGrid>
      <w:tr w:rsidR="00B444CF" w:rsidRPr="000723A5" w:rsidTr="004B62CF">
        <w:tc>
          <w:tcPr>
            <w:tcW w:w="709" w:type="dxa"/>
          </w:tcPr>
          <w:p w:rsidR="00B444CF" w:rsidRPr="000723A5" w:rsidRDefault="00B444CF" w:rsidP="004B6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444CF" w:rsidRPr="000723A5" w:rsidRDefault="00B444CF" w:rsidP="004B62CF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B444CF" w:rsidRPr="000723A5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3A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444CF" w:rsidRPr="000723A5" w:rsidTr="004B62CF">
        <w:tc>
          <w:tcPr>
            <w:tcW w:w="9356" w:type="dxa"/>
            <w:gridSpan w:val="3"/>
          </w:tcPr>
          <w:p w:rsidR="00B444CF" w:rsidRPr="000723A5" w:rsidRDefault="00B444CF" w:rsidP="004B62CF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Введение.  ГИА как форма итоговой аттестации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 xml:space="preserve">Входная работа 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b/>
                <w:sz w:val="28"/>
                <w:szCs w:val="28"/>
              </w:rPr>
              <w:t>Тема 1. Человек и общество (6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Человек и общество.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Общество как динамичная саморазвивающаяся система.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Деятельность человека и её основные формы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Типы общества.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ОГЭ «Человек и общество»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b/>
                <w:sz w:val="28"/>
                <w:szCs w:val="28"/>
              </w:rPr>
              <w:t>Тема 2. Социальная сфера (8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отношения. 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Социальные роли и статусы.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Виды семей. Функции семьи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Народ. Нация. Этнос.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Санкции. Нормы морали и права.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ОГЭ</w:t>
            </w:r>
            <w:proofErr w:type="gramStart"/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оциальная сфера»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вариант в форме ОГЭ 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b/>
                <w:sz w:val="28"/>
                <w:szCs w:val="28"/>
              </w:rPr>
              <w:t>Тема 3. Экономическая сфера (7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бизнес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Потребитель и его права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Измерители экономической деятельности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ОГЭ</w:t>
            </w:r>
            <w:proofErr w:type="gramStart"/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proofErr w:type="gramEnd"/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кономическая сфера»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право (7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Государство. Основы конституционного строя РФ.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политике и управлении.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rPr>
          <w:trHeight w:val="130"/>
        </w:trPr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  <w:tcBorders>
              <w:bottom w:val="single" w:sz="4" w:space="0" w:color="auto"/>
            </w:tcBorders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Тренировочный вариант в форме ОГЭ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  <w:tcBorders>
              <w:top w:val="single" w:sz="4" w:space="0" w:color="auto"/>
            </w:tcBorders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Место несовершеннолетних в системе российского законодательства.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Тестирование в форме ОГЭ «Политика и право»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b/>
                <w:sz w:val="28"/>
                <w:szCs w:val="28"/>
              </w:rPr>
              <w:t>Тема 5. Духовная жизнь общества (2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Формы и разновидности культуры.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Наука. Образование. Религия. Мораль.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6C7EBE" w:rsidTr="004B62CF">
        <w:tc>
          <w:tcPr>
            <w:tcW w:w="9356" w:type="dxa"/>
            <w:gridSpan w:val="3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Контроль, обобщение и повторение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C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Тренировочный вариант в форме ОГЭ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4CF" w:rsidRPr="000723A5" w:rsidTr="004B62CF">
        <w:tc>
          <w:tcPr>
            <w:tcW w:w="709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B444CF" w:rsidRPr="006C7EBE" w:rsidRDefault="00B444CF" w:rsidP="004B62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276" w:type="dxa"/>
          </w:tcPr>
          <w:p w:rsidR="00B444CF" w:rsidRPr="006C7EBE" w:rsidRDefault="00B444CF" w:rsidP="004B6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E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Программно-методическое обеспечение.   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Литература для учителя и учащихся.</w:t>
      </w:r>
    </w:p>
    <w:p w:rsidR="00B444CF" w:rsidRPr="00B444CF" w:rsidRDefault="00B444CF" w:rsidP="00B444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Учебник «Обществознание»  Боголюбов Л.Н., Матвеева А.И. Обществознание.8- 9 класс. М. Просвещение,   2014</w:t>
      </w:r>
    </w:p>
    <w:p w:rsidR="00B444CF" w:rsidRPr="00B444CF" w:rsidRDefault="00B444CF" w:rsidP="00B444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 Конституция Российской Федерации.- М., 2011 г.</w:t>
      </w:r>
    </w:p>
    <w:p w:rsidR="00B444CF" w:rsidRPr="00B444CF" w:rsidRDefault="00B444CF" w:rsidP="00B444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А.В. Клименко, В.В. </w:t>
      </w:r>
      <w:proofErr w:type="spellStart"/>
      <w:r w:rsidRPr="00B444CF">
        <w:rPr>
          <w:rFonts w:ascii="Times New Roman" w:eastAsia="Times New Roman" w:hAnsi="Times New Roman" w:cs="Times New Roman"/>
          <w:sz w:val="24"/>
          <w:szCs w:val="24"/>
        </w:rPr>
        <w:t>Румынина</w:t>
      </w:r>
      <w:proofErr w:type="spellEnd"/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«Обществознание» М. Дрофа. 2008 г.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Интернет - ресурсы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7" w:history="1">
        <w:r w:rsidRPr="00B4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http://www.mon.ru</w:t>
        </w:r>
      </w:hyperlink>
      <w:r w:rsidRPr="00B444CF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8" w:history="1">
        <w:r w:rsidRPr="00B4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gov.ru</w:t>
        </w:r>
      </w:hyperlink>
      <w:r w:rsidRPr="00B444CF">
        <w:rPr>
          <w:rFonts w:ascii="Times New Roman" w:eastAsia="Times New Roman" w:hAnsi="Times New Roman" w:cs="Times New Roman"/>
          <w:sz w:val="24"/>
          <w:szCs w:val="24"/>
        </w:rPr>
        <w:t> – официальный сайт Министерства образования и науки РФ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2.</w:t>
      </w:r>
      <w:hyperlink r:id="rId9" w:history="1">
        <w:r w:rsidRPr="00B4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http://www.fipi.ru</w:t>
        </w:r>
      </w:hyperlink>
      <w:r w:rsidRPr="00B444CF">
        <w:rPr>
          <w:rFonts w:ascii="Times New Roman" w:eastAsia="Times New Roman" w:hAnsi="Times New Roman" w:cs="Times New Roman"/>
          <w:sz w:val="24"/>
          <w:szCs w:val="24"/>
        </w:rPr>
        <w:t> –  портал федерального института педагогических измерений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3.</w:t>
      </w:r>
      <w:hyperlink r:id="rId10" w:history="1">
        <w:r w:rsidRPr="00B4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http://www.school.edu.ru</w:t>
        </w:r>
      </w:hyperlink>
      <w:r w:rsidRPr="00B444CF">
        <w:rPr>
          <w:rFonts w:ascii="Times New Roman" w:eastAsia="Times New Roman" w:hAnsi="Times New Roman" w:cs="Times New Roman"/>
          <w:sz w:val="24"/>
          <w:szCs w:val="24"/>
        </w:rPr>
        <w:t> – российский общеобразовательный портал</w:t>
      </w:r>
    </w:p>
    <w:p w:rsidR="00B444CF" w:rsidRPr="00B444CF" w:rsidRDefault="00B444CF" w:rsidP="00B4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CF">
        <w:rPr>
          <w:rFonts w:ascii="Times New Roman" w:eastAsia="Times New Roman" w:hAnsi="Times New Roman" w:cs="Times New Roman"/>
          <w:sz w:val="24"/>
          <w:szCs w:val="24"/>
        </w:rPr>
        <w:t>4.</w:t>
      </w:r>
      <w:hyperlink r:id="rId11" w:history="1">
        <w:r w:rsidRPr="00B44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http://www.elibrary.ru/defaultx.asp</w:t>
        </w:r>
      </w:hyperlink>
      <w:r w:rsidRPr="00B444CF">
        <w:rPr>
          <w:rFonts w:ascii="Times New Roman" w:eastAsia="Times New Roman" w:hAnsi="Times New Roman" w:cs="Times New Roman"/>
          <w:sz w:val="24"/>
          <w:szCs w:val="24"/>
        </w:rPr>
        <w:t xml:space="preserve"> – научная электронная библиотека </w:t>
      </w:r>
    </w:p>
    <w:p w:rsidR="00A520F1" w:rsidRDefault="00A520F1"/>
    <w:sectPr w:rsidR="00A520F1" w:rsidSect="00A5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FC"/>
    <w:multiLevelType w:val="multilevel"/>
    <w:tmpl w:val="A760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21380"/>
    <w:multiLevelType w:val="multilevel"/>
    <w:tmpl w:val="A47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55F10"/>
    <w:multiLevelType w:val="multilevel"/>
    <w:tmpl w:val="8582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579F6"/>
    <w:multiLevelType w:val="hybridMultilevel"/>
    <w:tmpl w:val="58F4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00A6"/>
    <w:multiLevelType w:val="multilevel"/>
    <w:tmpl w:val="1828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97D94"/>
    <w:multiLevelType w:val="multilevel"/>
    <w:tmpl w:val="D7A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2097B"/>
    <w:multiLevelType w:val="multilevel"/>
    <w:tmpl w:val="E9E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4CF"/>
    <w:rsid w:val="000A1DC8"/>
    <w:rsid w:val="00117EBF"/>
    <w:rsid w:val="007041A7"/>
    <w:rsid w:val="00A030C5"/>
    <w:rsid w:val="00A520F1"/>
    <w:rsid w:val="00B444CF"/>
    <w:rsid w:val="00B807B3"/>
    <w:rsid w:val="00F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444CF"/>
  </w:style>
  <w:style w:type="paragraph" w:customStyle="1" w:styleId="c17">
    <w:name w:val="c17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44CF"/>
  </w:style>
  <w:style w:type="paragraph" w:customStyle="1" w:styleId="c37">
    <w:name w:val="c37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444CF"/>
  </w:style>
  <w:style w:type="character" w:customStyle="1" w:styleId="c2">
    <w:name w:val="c2"/>
    <w:basedOn w:val="a0"/>
    <w:rsid w:val="00B444CF"/>
  </w:style>
  <w:style w:type="paragraph" w:customStyle="1" w:styleId="c42">
    <w:name w:val="c42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444CF"/>
  </w:style>
  <w:style w:type="paragraph" w:customStyle="1" w:styleId="c18">
    <w:name w:val="c18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B4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4CF"/>
  </w:style>
  <w:style w:type="character" w:styleId="a3">
    <w:name w:val="Hyperlink"/>
    <w:basedOn w:val="a0"/>
    <w:uiPriority w:val="99"/>
    <w:semiHidden/>
    <w:unhideWhenUsed/>
    <w:rsid w:val="00B444CF"/>
    <w:rPr>
      <w:color w:val="0000FF"/>
      <w:u w:val="single"/>
    </w:rPr>
  </w:style>
  <w:style w:type="paragraph" w:styleId="a4">
    <w:name w:val="No Spacing"/>
    <w:link w:val="a5"/>
    <w:uiPriority w:val="1"/>
    <w:qFormat/>
    <w:rsid w:val="00B444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444CF"/>
  </w:style>
  <w:style w:type="table" w:styleId="a6">
    <w:name w:val="Table Grid"/>
    <w:basedOn w:val="a1"/>
    <w:rsid w:val="00B4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44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gov.ru/%26sa%3DD%26usg%3DAFQjCNGt5oA5GlUMdwlN8XwGf9QcDUN5GQ&amp;sa=D&amp;ust=1535465400492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www.mon.ru/%26sa%3DD%26usg%3DAFQjCNEsv8wLz66kyQmN_KIjXpay4YlRQw&amp;sa=D&amp;ust=1535465400492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www.google.com/url?q%3Dhttp://www.elibrary.ru/defaultx.asp%26sa%3DD%26usg%3DAFQjCNGjR4xdncmdXQmQ0GUOY7oQjglEOw&amp;sa=D&amp;ust=153546540049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google.com/url?q%3Dhttp://www.school.edu.ru/%26sa%3DD%26usg%3DAFQjCNHoM3_3JzYpEeTFl7XPaOolK6VR5g&amp;sa=D&amp;ust=153546540049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www.fipi.ru/%26sa%3DD%26usg%3DAFQjCNHcoF-qXgxy1ATXcoLV8sxNcJHkNg&amp;sa=D&amp;ust=153546540049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Polivanova</dc:creator>
  <cp:keywords/>
  <dc:description/>
  <cp:lastModifiedBy>Пользователь Windows</cp:lastModifiedBy>
  <cp:revision>6</cp:revision>
  <cp:lastPrinted>2023-09-11T17:04:00Z</cp:lastPrinted>
  <dcterms:created xsi:type="dcterms:W3CDTF">2021-08-18T08:39:00Z</dcterms:created>
  <dcterms:modified xsi:type="dcterms:W3CDTF">2023-09-29T06:10:00Z</dcterms:modified>
</cp:coreProperties>
</file>